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134</w:t>
      </w:r>
    </w:p>
    <w:p>
      <w:r>
        <w:t>Bundesgericht (BGE), 2013-03-15, DE</w:t>
      </w:r>
    </w:p>
    <w:p>
      <w:r>
        <w:rPr>
          <w:b/>
        </w:rPr>
        <w:t xml:space="preserve">Quelle: </w:t>
      </w:r>
      <w:r>
        <w:t>https://mcp.opencaselaw.ch/entscheid/bge_139 II 134</w:t>
      </w:r>
    </w:p>
    <w:p>
      <w:r>
        <w:t>FR: ATF 139 II 134</w:t>
      </w:r>
    </w:p>
    <w:p>
      <w:r>
        <w:t>IT: DTF 139 II 134</w:t>
      </w:r>
    </w:p>
    <w:p>
      <w:pPr>
        <w:pStyle w:val="Heading2"/>
      </w:pPr>
      <w:r>
        <w:t>Regeste</w:t>
      </w:r>
    </w:p>
    <w:p>
      <w:r>
        <w:t>Regeste Bewilligungspflicht von Probebohrungen im Waldgebiet. Probebohrungen im Waldgebiet bedürfen einer Ausnahmebewilligung gemäss Art. 24 RPG, wenn das Vorhaben so gewichtige Auswirkungen auf Raum und Umwelt hat, dass ein Interesse der Öffentlichkeit oder der Nachbarn an einer vorgängigen Kontrolle besteht. Von massgeblicher Bedeutung für die Beurteilung der räumlichen Folgen sind insbesondere die Art und Empfindlichkeit der Umgebung, in welcher das Vorhaben realisiert werden soll. Angesichts des besonderen Standorts im Wald sind die mit den fraglichen Probebohrungen verbundenen negativen Auswirkungen auf die Umgebung als so erheblich einzustufen, dass die Bewilligungspflicht nach Art. 24 RPG zu bejahen ist (E. 5.2 und 5.3). Für den Wald nachteilige Nutzungen, die keine Rodung darstellen, können von den Kantonen gemäss Art. 16 Abs. 2 WaG aus wichtigen Gründen unter Auflagen und Bedingungen bewilligt werden. Als solche Nutzungen gelten punktuelle oder unbedeutende Beanspruchungen von Waldboden für nichtforstliche Kleinbauten und -anlagen, die das Bestandesgefüge des Waldes nicht beeinträchtigen (E. 6.2). Bei den geplanten Probebohrungen handelt es sich um eine die Funktionen des Waldes zumindest temporär beeinträchtigende nachteilige Nutzung, welche eine kantonale Ausnahmebewilligung nach Art. 16 Abs. 2 WaG erfordert (E. 6.3).</w:t>
      </w:r>
    </w:p>
    <w:p>
      <w:pPr>
        <w:pStyle w:val="Heading2"/>
      </w:pPr>
      <w:r>
        <w:t>Erwägungen</w:t>
      </w:r>
    </w:p>
    <w:p>
      <w:r>
        <w:rPr>
          <w:b/>
        </w:rPr>
        <w:t>E. 5.1</w:t>
      </w:r>
    </w:p>
    <w:p>
      <w:r>
        <w:t>Die Baubewilligungspflicht betreffend hat die Vorinstanz erwogen, die geplanten Probebohrungen seien auf eine Fläche von unter 100 m 2 und auf eine Zeitdauer von vier Wochen beschränkt und hinterliessen kaum Spuren, da die Bohrlöcher nach dem Abschluss der Untersuchungen wieder aufzufüllen seien. Die räumlichen Auswirkungen der Probebohrungen seien nicht erheblich und gingen nicht über das hinaus, was der kantonale Gesetzgeber als baubewilligungsfrei erachte. Keiner Baubewilligung bedürften namentlich BGE 139 II 134 S. 139 Fahrnisbauten wie beispielsweise Festhütten oder Zelte bis zu einer Dauer von zwei Monaten (§ 30 Abs. 2 lit. d der aargauischen Bauverordnung vom 25. Mai 2011 [BauV/AG; SAR 713.121]);ebenso seien Erdsonden in der Regel baubewilligungsfrei, sofern die gewässerschutzrechtliche Bewilligung vorliege (§ 30 Abs. 2 lit. e BauV/AG). Die aus den Probebohrungen resultierenden Immissionen und die sich daraus ergebende Beschränkung der Befahrbarkeit der Waldstrassen genügten nicht für die Bejahung der Baubewilligungspflicht. So führten beispielsweise auch Renovationsarbeiten im Gebäudeinnern regelmässig zu störenden Immissionen und Behinderungen durch abgestellte Handwerkerfahrzeuge oder durch temporär gelagertes Baumaterial, ohne dass sie deswegen bewilligungspflichtig wären. Nicht entscheidend ins Gewicht falle, dass die Probebohrungen im Perimeter des BLN-Objekts Nr. 1'108 (Aargauer Tafeljura) und im Wald geplant seien. Die Probebohrungen auf den Waldstrassen beeinträchtigten Natur und Landschaft nur unerheblich, und die Gesichtspunkte des Natur- und Landschaftsschutzes seien in einem späteren Zeitpunkt, nämlich beim Entscheid, ob die planerischen Grundlagen für den Abbau von Kalk und Mergel geschaffen werden sollten, vertieft zu würdigen. Zusammenfassend seien die räumlichen Auswirkungen der beabsichtigten Probebohrungen nicht derart bedeutungsvoll, dass sie einer vorgängigen Kontrolle im Baubewilligungsverfahren bedürften.</w:t>
      </w:r>
    </w:p>
    <w:p>
      <w:r>
        <w:rPr>
          <w:b/>
        </w:rPr>
        <w:t>E. 5.2</w:t>
      </w:r>
    </w:p>
    <w:p>
      <w:r>
        <w:t>Die Probebohrungen sind im Waldgebiet geplant und dienen keinem forstwirtschaftlichen Zweck. In Frage steht daher die Erforderlichkeit einer Ausnahmebewilligung nach Art. 24 RPG . Dem in Art. 24 RPG verwendeten Bauten- und Anlagenbegriff liegt das Verständnis von Art. 22 RPG zugrunde, d.h. die Anwendung von Art. 24 RPG setzt das Vorliegen einer baubewilligungspflichtigen Baute oder Anlage gemäss Art. 22 Abs. 1 RPG voraus. Bauten und Anlagen gemäss Art. 22 Abs. 1 RPG sind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BGE 139 II 134 S. 140 Öffentlichkeit oder der Nachbarn an einer vorgängigen Kontrolle besteht ( BGE 120 Ib 379 E. 3c S. 383 mit Hinweisen). Die Baubewilligungspflicht soll es mithin der Behörde ermöglichen, das Bauprojekt in Bezug auf seine räumlichen Folgen vor seiner Ausführung auf die Übereinstimmung mit der raumplanerischen Nutzungsordnung und der übrigen einschlägigen Gesetzgebung zu überprüfen ( BGE 123 II 256 E. 3 S. 259). Als Bauten gelten nach der bundesgerichtlichen Praxis auch Fahrnisbauten, welche über nicht unerhebliche Zeiträume ortsfest verwendet werden. Diese Voraussetzungen sind für vorbereitende Handlungen zu einem die Umwelt belastenden Werk jedenfalls dann als erfüllt anzusehen, wenn sie ein für die Orts- oder Regionalplanung erhebliches Ausmass annehmen, wie dies das Bundesgericht für rund zwölf Monate dauernde Probebohrungen zur Abklärung eines Standorts für die Lagerung radioaktiver Abfälle angenommen hat ( BGE 111 Ib 102 E. 6 S. 109). Für geotechnische Untersuchungen dürften die genannten Voraussetzungen erfüllt sein, wenn die damit verbundenen Terrainveränderungen zu beträchtlichen Eingriffen in die Umwelt führen und während längerer Zeit sichtbar bleiben (im Ergebnis offengelassen in BGE 118 Ib 1 E. 2c S. 9). Der Baubewilligungspflicht können indes auch blosse Nutzungsänderungen unterstehen, die zwar keine massgeblichen Terrainveränderungen bewirken, aber erhebliche Auswirkungen auf die Umwelt haben (vgl. BGE 119 Ib 222 E. 3a S. 226 bez. eines Hängegleiterlandeplatzes). Nicht bewilligungspflichtig sind nach Art. 22 Abs. 1 RPG Kleinvorhaben, die nur ein geringes Ausmass haben und weder öffentliche noch nachbarliche Interessen berühren. Darunter fallen zum Beispiel bauliche Veränderungen im Innern von Gebäuden oder für kurze Zeit aufgestellte Zelte oder Wohnwagen. Wesentlich für die Frage, ob eine Kleinbaute der Bewilligungspflicht untersteht oder nicht, sind die Art und die Empfindlichkeit der Umgebung, in welcher das Vorhaben realisiert werden soll (vgl. hierzu und zum Ganzen ANDREAS BAUMANN, Das Baubewilligungsverfahren nach aargauischem Recht, 2007, S. 46 ff., insb. 50).</w:t>
      </w:r>
    </w:p>
    <w:p>
      <w:r>
        <w:rPr>
          <w:b/>
        </w:rPr>
        <w:t>E. 5.3</w:t>
      </w:r>
    </w:p>
    <w:p>
      <w:r>
        <w:t>Nach der bundesgerichtlichen Rechtsprechung hängt die Bewilligungspflicht von Probebohrungen folglich von deren konkreten räumlichen Auswirkungen im Einzelfall ab ( BGE 118 Ib 1 E. 2c S. 9; zur Kasuistik vgl. auch WALDMANN/HÄNNI, Raumplanungsgesetz, Handkommentar, 2006, N. 15 zu Art. 22; CHRISTIAN MÄDER, Das Baubewilligungsverfahren, 1991, S. 90 f.). Entscheidend ist nach dem BGE 139 II 134 S. 141 Gesagten, ob die Probebohrungen so gewichtige Auswirkungen auf Raum und Umwelt haben, dass ein Interesse der Öffentlichkeit oder der Nachbarn an einer vorgängigen Kontrolle besteht; von massgeblicher Bedeutung für die Beurteilung der räumlichen Folgen sind insbesondere auch die Art und die Empfindlichkeit der Umgebung. Der geplante Standort der Probebohrungen in Effingen befindet sich ausserhalb der Bauzone im Wald im Perimeter des BLN-Objekts Nr. 1'108 (Aargauer Tafeljura) und liegt in einem besonders gefährdeten Gewässerschutzbereich (vgl. insoweit Art. 32 Abs. 2 lit. f i.V.m. Art. 29 GSchV [SR 814.201] und Art. 19 Abs. 2 GSchG [SR 814.20]; vgl. ferner die Sondierbohrbewilligung der Abteilung für Umwelt des BVU/AG vom 22. März 2007). Damit aber unterscheidet sich der zu beurteilende Fall massgeblich von den von der Vorinstanz angeführten Vergleichsbeispielen. Der Anwendungsbereich von § 30 Abs. 2 BauV/AG ist ausdrücklich auf Bauzonen beschränkt. Ausserhalb der Bauzonen hingegen ist namentlich die Installation von Erdsonden bewilligungspflichtig, d.h. es bedarf hierfür einer Ausnahmebewilligung nach Art. 24 RPG . Auch die von der Vorinstanz erwähnten Renovationsarbeiten im Gebäudeinnern betreffen in aller Regel Gebäude im Baugebiet, sodass hier die räumlichen Folgen bzw. die Auswirkungen auf die Umgebung deutlich geringer sind als bei Probebohrungen im Wald. Die geplanten Probebohrungen nehmen zwar eine verhältnismässig geringe Waldfläche von unter 100 m 2 in Anspruch und erstrecken sich über eine relativ kurze Zeitdauer von maximal vier Wochen. Dennoch sind die Auswirkungen erheblich, da neben dem benötigten Bohrgerät eine Notstromgruppe, ein Spülwasserbecken und ein Rohrlager angeliefert, installiert, betrieben und wieder abtransportiert werden müssen. Damit ist gleichzeitig gesagt, dass die Auswirkungen nicht auf den eigentlichen Standort beschränkt bleiben. Vielmehr tangieren die mutmasslich rund 200 Hin- und Rückfahrten durch den Wald auch übriges Waldgebiet, wobei die genaue Anzahl und der Zeitpunkt der Fahrten sowie die zu wählende Route bislang noch nicht verbindlich festgelegt sind. Angesichts des besonderen Standorts - Waldgebiet, BLN-Objekt und besonders gefährdeter Gewässerschutzbereich - sind die mit den Probebohrungen verbundenen negativen Auswirkungen auf die Umgebung im Ergebnis als so erheblich einzustufen, dass das Bauvorhaben einer Ausnahmebewilligung nach Art. 24 RPG bedarf. BGE 139 II 134 S. 142</w:t>
      </w:r>
    </w:p>
    <w:p>
      <w:r>
        <w:rPr>
          <w:b/>
        </w:rPr>
        <w:t>E. 6.1</w:t>
      </w:r>
    </w:p>
    <w:p>
      <w:r>
        <w:t>Die Abteilung für Baubewilligungen des BVU/AG stellte mit Entscheid vom 23. Februar 2011 fest (vgl. Sachverhalt lit. B. hiervor), für die Probebohrungen sei keine Ausnahmebewilligung für eine Rodung erforderlich (vgl. Art. 5 des Waldgesetzes vom 4. Oktober 1991 [WaG; SR 921.0] und Art. 4 der Waldverordnung vom 30. November 1992 [WaV; SR 921.01]), und bei den Probebohrungen handle es sich auch nicht um eine nachteilige Nutzung des Waldes, für welche eine Ausnahmebewilligung notwendig wäre (vgl. Art. 16 WaG ). Die Vorinstanz hat diese Einschätzung im angefochtenen Urteil bestätigt und in ihrer Begründung unter Bezugnahme auf die Erwägungen des Regierungsrats ausgeführt, die Probebohrungen beschränkten sich auf das Gebiet von Waldstrassen. Deren Zweckentfremdung sei mit maximal vier Wochen kurz befristet. Die auf die Waldbewirtschaftung mit grossen und schweren Fahrzeugen ausgelegten Waldstrassen vermöchten die mit den Probebohrungen verbundenen Fahrten schadlos zu bewältigen, und die Funktion der Waldstrassen als forstliche Anlagen bleibe auf Dauer erhalten. Der Umstand, dass die Waldweggabelung während eines Monats nicht oder nur erschwert mit zweispurigen Fahrzeugen befahrbar sei, schränke die Produktionsfähigkeit des angrenzenden Waldbodens nicht ein. Auch das Wild werde durch die Bohrarbeiten samt den damit verbundenen Fahrten mutmasslich nicht stärker gestört als durch ordentliche Forstarbeiten. Insbesondere sei damit zu rechnen, dass das Wild die Umgebung der Bohrstelle nur vorübergehend meide und nicht dauerhaft vertrieben werde. Ebenfalls nur geringfügig beeinträchtigt sei schliesslich die Erholungsfunktion des Waldes. Bei dieser Ausgangslage sei für die Probebohrungen keine Rodungsbewilligung gemäss Art. 5 WaG notwendig. Ebenso wenig sei eine Ausnahmebewilligung für eine nachteilige (Wald-)Nutzung nach Art. 16 WaG bzw. § 13 AWaG/AG erforderlich, da die Funktion und die Bewirtschaftung des Waldes weder gefährdet noch relevant beeinträchtigt würden.</w:t>
      </w:r>
    </w:p>
    <w:p>
      <w:r>
        <w:rPr>
          <w:b/>
        </w:rPr>
        <w:t>E. 6.2</w:t>
      </w:r>
    </w:p>
    <w:p>
      <w:r>
        <w:t>Das Waldgesetz bezweckt die Erhaltung und den Schutz des Waldes, soll dafür sorgen, dass der Wald seine Funktionen erfüllen kann, und die Waldwirtschaft fördern und erhalten ( Art. 1 Abs. 1 WaG ). Als Wald gelten auch Waldstrassen ( Art. 2 Abs. 2 lit. b WaG ). Bauvorhaben, die den Waldboden dauernd oder vorübergehend zweckentfremden, bedürfen einer Rodungsbewilligung ( Art. 4 WaG ). Rodungen sind grundsätzlich verboten (vgl. Art. 5 Abs. 1 WaG ). Eine BGE 139 II 134 S. 143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Raumplanung sachlich erfüllen (lit. b); die Rodung darf zu keiner erheblichen Gefährdung der Umwelt führen (lit. c). Die Erteilung einer Rodungsbewilligung befreit nicht von der Einholung einer Baubewilligung nach Art. 22 oder 24 RPG (vgl. Art. 11 Abs. 1 WaG ). Die Beanspruchung von Waldboden für forstliche Bauten und Anlagen sowie für nichtforstliche Kleinbauten und -anlagen gilt nach Art. 4 lit. a WaV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Bauvorhaben, immer auch einer Baubewilligung nach RPG. Für den Wald nachteilige Nutzungen, die keine Rodung darstellen, sind grundsätzlich unzulässig, dürfen aber von den Kantonen aus wichtigen Gründen unter Auflagen und Bedingungen bewilligt werden ( Art. 16 WaG ). Als solche Nutzungen gelten punktuelle oder unbedeutende Beanspruchungen von Waldboden für nichtforstliche Kleinbauten und -anlagen, wie bescheidene Rastplätze, Feuerstellen, Sport- und Lehrpfade, erdverlegte Leitungen und Kleinantennenanlagen, die das Bestandesgefüge des Waldes nicht beeinträchtigen (Botschaft des Bundesrats vom 29. Juni 1988 zum WaG, BBl 1988 III 191). Die nichtforstlichen Kleinbauten und -anlagen benötigen somit zwar keine Rodungsbewilligung, weil sie den Wald nicht geradezu zweckentfremden. Da sie für diesen jedoch nachteilig sind, bedürfen sie einer Ausnahmebewilligung des Kantons und, weil sie als nachteilige Nutzungen dem Zweck des Waldes jedenfalls nicht ganz entsprechen, einer Baubewilligung nach Art. 24 RPG . Die Beurteilung, ob eine nichtforstliche Kleinbaute vorliegt, hat in erster Linie mit Blick auf den Umfang und die Intensität des beanspruchten Waldbodens zu erfolgen, wobei ein strenger Massstab anzusetzen ist, damit der Zweck der Waldgesetzgebung, namentlich die Erhaltung des Waldbestands, nicht weitgehend in Frage gestellt wird (vgl. STEFAN M. JAISSLE, Der dynamische Waldbegriff und die Raumplanung, 1994, S. 136). Weist eine Baute eine derartige Grösse auf, BGE 139 II 134 S. 144 dass von einer punktuellen oder unbedeutenden Beanspruchung des Waldbodens nicht mehr gesprochen werden kann, lässt sie sich bereits aus diesem Grund nicht mehr unter den Begriff der "Kleinbaute" im Sinne von Art. 4 lit.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gewissen Umschwungs bedingt und wie intensiv die Nutzung in diesem Bereich ist. Ob eine Baute oder Anlage als nichtforstliche Kleinbaute oder -anlage im Sinne der Waldgesetzgebung in Betracht fällt, ist somit in jedem Einzelfall anhand der gesamten Umstände zu prüfen (Urteil 1A.32/2004 vom 30. September 2004 E. 3.1; in: Pra 2005 Nr. 87 S. 645).</w:t>
      </w:r>
    </w:p>
    <w:p>
      <w:r>
        <w:rPr>
          <w:b/>
        </w:rPr>
        <w:t>E. 6.3</w:t>
      </w:r>
    </w:p>
    <w:p>
      <w:r>
        <w:t>Die geplanten Probebohrungen dienen keinem forstwirtschaftlichen Zweck und stellen damit eine Zweckentfremdung der Waldstrassen als Waldboden dar. Hiervon geht im Übrigen auch die Vorinstanz aus. Eine einmalige, kurzfristige und punktuelle Beanspruchung von Waldboden (wie etwa durch das Skifahren abseits der Piste) darf mit Blick auf den zeitlichen Faktor noch nicht als vorübergehende Zweckentfremdung angesehen werden (vgl. JAISSLE, a.a.O., S. 115 Fn. 5). Bei einer Beanspruchung des Waldbodens während einer Zeitdauer von vier Wochen ist das Merkmal "vorübergehend" hingegen erfüllt. Damit liegt grundsätzlich eine vorübergehende Zweckentfremdung des Waldbodens im Sinne von Art. 4 WaG vor. Indes gilt die Beanspruchung von Waldboden für nichtforstliche Kleinbauten und -anlagen gemäss Art. 4 lit. a WaV nicht als Rodung. Auf der Basis der beispielhaften Aufzählung in der bundesrätlichen Botschaft, wonach etwa erdverlegte Leitungen und Kleinantennenanlagen nicht als Rodung gelten, und in Anbetracht dessen, dass vorliegend die beanspruchte Waldbodenfläche weniger als 100 m 2 beträgt und die Nutzungsdauer auf maximal vier Wochen beschränkt ist, ist bei den geplanten Probebohrungen von einer punktuellen Beanspruchung des Waldbodens auszugehen, welche das Bestandesgefüge des Waldes nicht tangiert und daher keiner Rodungsbewilligung nach Art. 5 Abs. 2 WaG bedarf. Allerdings machen die Probebohrungen, wie dargelegt, die Anlieferung, die Installation, den Betrieb und den Abtransport von Bohrgerät, einer Notstromgruppe, eines Spülwasserbeckens und eines Rohrlagers sowie mutmasslich rund 200 Hin- und Rückfahrten durch das Waldgebiet notwendig. BGE 139 II 134 S. 145 Aufgrund dieser mit dem Vorhaben verbundenen negativen Auswirkungen auf die Umgebung handelt es sich um eine die Funktionen des Waldes zumindest temporär beeinträchtigende nachteilige Nutzung im Sinne von Art. 16 Abs. 1 WaG . Eine solche erfordert eine kantonale Ausnahmebewilligung, deren Erteilung gemäss Art. 16 Abs. 2 WaG an das Vorliegen wichtiger Gründe geknüpft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